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ECF3" w14:textId="28E00345" w:rsidR="004645D2" w:rsidRPr="00883B3C" w:rsidRDefault="007958C9" w:rsidP="00B7398A">
      <w:pPr>
        <w:rPr>
          <w:b/>
          <w:bCs/>
          <w:color w:val="0070C0"/>
          <w:sz w:val="32"/>
          <w:szCs w:val="32"/>
        </w:rPr>
      </w:pPr>
      <w:r w:rsidRPr="00883B3C">
        <w:rPr>
          <w:b/>
          <w:bCs/>
          <w:color w:val="0070C0"/>
          <w:sz w:val="32"/>
          <w:szCs w:val="32"/>
        </w:rPr>
        <w:t>Avis LPO</w:t>
      </w:r>
      <w:r w:rsidR="006C2CBF">
        <w:rPr>
          <w:b/>
          <w:bCs/>
          <w:color w:val="0070C0"/>
          <w:sz w:val="32"/>
          <w:szCs w:val="32"/>
        </w:rPr>
        <w:t xml:space="preserve"> consultation publique</w:t>
      </w:r>
      <w:r w:rsidRPr="00883B3C">
        <w:rPr>
          <w:b/>
          <w:bCs/>
          <w:color w:val="0070C0"/>
          <w:sz w:val="32"/>
          <w:szCs w:val="32"/>
        </w:rPr>
        <w:t xml:space="preserve"> - </w:t>
      </w:r>
      <w:r w:rsidR="00B7398A" w:rsidRPr="00B7398A">
        <w:rPr>
          <w:b/>
          <w:bCs/>
          <w:color w:val="0070C0"/>
          <w:sz w:val="32"/>
          <w:szCs w:val="32"/>
        </w:rPr>
        <w:t xml:space="preserve">Arrêté encadrant la chasse du </w:t>
      </w:r>
      <w:r w:rsidR="00111EB2">
        <w:rPr>
          <w:b/>
          <w:bCs/>
          <w:color w:val="0070C0"/>
          <w:sz w:val="32"/>
          <w:szCs w:val="32"/>
        </w:rPr>
        <w:t>F</w:t>
      </w:r>
      <w:r w:rsidR="00B7398A" w:rsidRPr="00B7398A">
        <w:rPr>
          <w:b/>
          <w:bCs/>
          <w:color w:val="0070C0"/>
          <w:sz w:val="32"/>
          <w:szCs w:val="32"/>
        </w:rPr>
        <w:t>uligule milouin pour la saison cynégétique 2026-2027</w:t>
      </w:r>
    </w:p>
    <w:p w14:paraId="6851A2C1" w14:textId="71FA568E" w:rsidR="00107E00" w:rsidRPr="00107E00" w:rsidRDefault="00107E00" w:rsidP="00107E00">
      <w:pPr>
        <w:rPr>
          <w:i/>
          <w:iCs/>
        </w:rPr>
      </w:pPr>
      <w:r w:rsidRPr="00107E00">
        <w:rPr>
          <w:i/>
          <w:iCs/>
        </w:rPr>
        <w:t xml:space="preserve">Lien : </w:t>
      </w:r>
      <w:hyperlink r:id="rId7" w:history="1">
        <w:r w:rsidR="002C44CD" w:rsidRPr="004B6B93">
          <w:rPr>
            <w:rStyle w:val="Hyperlink"/>
          </w:rPr>
          <w:t>https://www.consultations-publiques.developpement-durable.gouv.fr/projet-d-arrete-encadrant-la-chasse-du-fuligule-a3403.html</w:t>
        </w:r>
      </w:hyperlink>
      <w:r w:rsidR="002C44CD">
        <w:t xml:space="preserve"> </w:t>
      </w:r>
    </w:p>
    <w:p w14:paraId="16B9E4CE" w14:textId="282968C9" w:rsidR="004645D2" w:rsidRPr="00107E00" w:rsidRDefault="00107E00" w:rsidP="00107E00">
      <w:pPr>
        <w:pBdr>
          <w:bottom w:val="single" w:sz="4" w:space="1" w:color="auto"/>
        </w:pBdr>
        <w:rPr>
          <w:b/>
          <w:bCs/>
        </w:rPr>
      </w:pPr>
      <w:r w:rsidRPr="00107E00">
        <w:rPr>
          <w:i/>
          <w:iCs/>
        </w:rPr>
        <w:t xml:space="preserve">Consultation du </w:t>
      </w:r>
      <w:r w:rsidR="00F722EB">
        <w:rPr>
          <w:i/>
          <w:iCs/>
        </w:rPr>
        <w:t>30</w:t>
      </w:r>
      <w:r w:rsidRPr="00107E00">
        <w:rPr>
          <w:i/>
          <w:iCs/>
        </w:rPr>
        <w:t xml:space="preserve">/07/2026 au </w:t>
      </w:r>
      <w:r w:rsidR="00F722EB">
        <w:rPr>
          <w:i/>
          <w:iCs/>
        </w:rPr>
        <w:t>19</w:t>
      </w:r>
      <w:r w:rsidRPr="00107E00">
        <w:rPr>
          <w:i/>
          <w:iCs/>
        </w:rPr>
        <w:t>/0</w:t>
      </w:r>
      <w:r w:rsidR="002D5466">
        <w:rPr>
          <w:i/>
          <w:iCs/>
        </w:rPr>
        <w:t>8</w:t>
      </w:r>
      <w:r w:rsidRPr="00107E00">
        <w:rPr>
          <w:i/>
          <w:iCs/>
        </w:rPr>
        <w:t>/2026</w:t>
      </w:r>
    </w:p>
    <w:p w14:paraId="241A2EA4" w14:textId="77777777" w:rsidR="004645D2" w:rsidRDefault="004645D2" w:rsidP="00875951">
      <w:pPr>
        <w:rPr>
          <w:b/>
          <w:bCs/>
        </w:rPr>
      </w:pPr>
    </w:p>
    <w:p w14:paraId="19455A8B" w14:textId="0514171E" w:rsidR="00875951" w:rsidRPr="00883B3C" w:rsidRDefault="3C9E7777" w:rsidP="3C9E7777">
      <w:pPr>
        <w:jc w:val="both"/>
        <w:rPr>
          <w:sz w:val="24"/>
          <w:szCs w:val="24"/>
        </w:rPr>
      </w:pPr>
      <w:r w:rsidRPr="3C9E7777">
        <w:rPr>
          <w:b/>
          <w:bCs/>
          <w:sz w:val="24"/>
          <w:szCs w:val="24"/>
        </w:rPr>
        <w:t xml:space="preserve">Avis </w:t>
      </w:r>
      <w:r w:rsidR="008A3EE3">
        <w:rPr>
          <w:b/>
          <w:bCs/>
          <w:sz w:val="24"/>
          <w:szCs w:val="24"/>
        </w:rPr>
        <w:t>dé</w:t>
      </w:r>
      <w:r w:rsidRPr="3C9E7777">
        <w:rPr>
          <w:b/>
          <w:bCs/>
          <w:sz w:val="24"/>
          <w:szCs w:val="24"/>
        </w:rPr>
        <w:t>favorable</w:t>
      </w:r>
    </w:p>
    <w:p w14:paraId="5818C9E9" w14:textId="77777777" w:rsidR="00ED69CB" w:rsidRDefault="00ED69CB" w:rsidP="00ED69CB">
      <w:pPr>
        <w:jc w:val="both"/>
      </w:pPr>
    </w:p>
    <w:p w14:paraId="4A06D9F8" w14:textId="77777777" w:rsidR="00ED69CB" w:rsidRPr="006E6A9F" w:rsidRDefault="00ED69CB" w:rsidP="00ED69CB">
      <w:pPr>
        <w:jc w:val="both"/>
        <w:rPr>
          <w:sz w:val="22"/>
          <w:szCs w:val="22"/>
        </w:rPr>
      </w:pPr>
      <w:r w:rsidRPr="006E6A9F">
        <w:rPr>
          <w:sz w:val="22"/>
          <w:szCs w:val="22"/>
        </w:rPr>
        <w:t>La LPO émet un avis défavorable au projet d'arrêté autorisant la chasse du Fuligule milouin (</w:t>
      </w:r>
      <w:r w:rsidRPr="006E6A9F">
        <w:rPr>
          <w:i/>
          <w:iCs/>
          <w:sz w:val="22"/>
          <w:szCs w:val="22"/>
        </w:rPr>
        <w:t>Aythya ferina</w:t>
      </w:r>
      <w:r w:rsidRPr="006E6A9F">
        <w:rPr>
          <w:sz w:val="22"/>
          <w:szCs w:val="22"/>
        </w:rPr>
        <w:t>).</w:t>
      </w:r>
    </w:p>
    <w:p w14:paraId="03E4CF45" w14:textId="77777777" w:rsidR="00ED69CB" w:rsidRPr="006E6A9F" w:rsidRDefault="00ED69CB" w:rsidP="00ED69CB">
      <w:pPr>
        <w:jc w:val="both"/>
        <w:rPr>
          <w:sz w:val="22"/>
          <w:szCs w:val="22"/>
        </w:rPr>
      </w:pPr>
    </w:p>
    <w:p w14:paraId="7BF04B2D" w14:textId="391BDBC6" w:rsidR="00ED69CB" w:rsidRPr="006E6A9F" w:rsidRDefault="00ED69CB" w:rsidP="00ED69CB">
      <w:pPr>
        <w:jc w:val="both"/>
        <w:rPr>
          <w:sz w:val="22"/>
          <w:szCs w:val="22"/>
        </w:rPr>
      </w:pPr>
      <w:r w:rsidRPr="006E6A9F">
        <w:rPr>
          <w:sz w:val="22"/>
          <w:szCs w:val="22"/>
        </w:rPr>
        <w:t xml:space="preserve">Malgré les évolutions récemment constatées pour certaines populations européennes, les éléments scientifiques les plus récents produits dans le cadre des travaux de la </w:t>
      </w:r>
      <w:r w:rsidR="00B4533B" w:rsidRPr="006E6A9F">
        <w:rPr>
          <w:sz w:val="22"/>
          <w:szCs w:val="22"/>
        </w:rPr>
        <w:t>Task Force on the Recovery of Birds (TFRB)</w:t>
      </w:r>
      <w:r w:rsidR="00FF208A" w:rsidRPr="006E6A9F">
        <w:rPr>
          <w:sz w:val="22"/>
          <w:szCs w:val="22"/>
        </w:rPr>
        <w:t xml:space="preserve"> de </w:t>
      </w:r>
      <w:r w:rsidRPr="006E6A9F">
        <w:rPr>
          <w:sz w:val="22"/>
          <w:szCs w:val="22"/>
        </w:rPr>
        <w:t>la Commission européenne ne permettent pas de considérer que les conditions d'une reprise durable de la chasse sont aujourd'hui réunies.</w:t>
      </w:r>
    </w:p>
    <w:p w14:paraId="1BEF92B5" w14:textId="77777777" w:rsidR="00B4533B" w:rsidRPr="006E6A9F" w:rsidRDefault="00B4533B" w:rsidP="00ED69CB">
      <w:pPr>
        <w:jc w:val="both"/>
        <w:rPr>
          <w:sz w:val="22"/>
          <w:szCs w:val="22"/>
        </w:rPr>
      </w:pPr>
    </w:p>
    <w:p w14:paraId="1E38CCCE" w14:textId="2C0C24FF" w:rsidR="00B4533B" w:rsidRPr="006E6A9F" w:rsidRDefault="00B4533B" w:rsidP="00ED69CB">
      <w:pPr>
        <w:jc w:val="both"/>
        <w:rPr>
          <w:sz w:val="22"/>
          <w:szCs w:val="22"/>
        </w:rPr>
      </w:pPr>
      <w:r w:rsidRPr="006E6A9F">
        <w:rPr>
          <w:sz w:val="22"/>
          <w:szCs w:val="22"/>
        </w:rPr>
        <w:t xml:space="preserve">Les analyses démographiques réalisées dans le cadre des travaux de la TFRB montrent que le déclin de la population de la voie de migration Nord-Est/Nord-Ouest </w:t>
      </w:r>
      <w:r w:rsidR="00B10B9B" w:rsidRPr="006E6A9F">
        <w:rPr>
          <w:sz w:val="22"/>
          <w:szCs w:val="22"/>
        </w:rPr>
        <w:t xml:space="preserve">Europe </w:t>
      </w:r>
      <w:r w:rsidRPr="006E6A9F">
        <w:rPr>
          <w:sz w:val="22"/>
          <w:szCs w:val="22"/>
        </w:rPr>
        <w:t xml:space="preserve">résulte principalement d'une diminution de la productivité et du succès reproducteur. Elles montrent toutefois également que, dans ce contexte, </w:t>
      </w:r>
      <w:r w:rsidR="00BB0E22" w:rsidRPr="00BB0E22">
        <w:rPr>
          <w:sz w:val="22"/>
          <w:szCs w:val="22"/>
        </w:rPr>
        <w:t>la mortalité liée à la chasse constitue le levier de gestion le plus efficace et le plus rapidement mobilisable</w:t>
      </w:r>
      <w:r w:rsidRPr="006E6A9F">
        <w:rPr>
          <w:sz w:val="22"/>
          <w:szCs w:val="22"/>
        </w:rPr>
        <w:t>, la réduction des prélèvements permettant d'améliorer rapidement la survie des jeunes femelles, identifiée comme le paramètre ayant le plus fort potentiel d'augmentation du taux de croissance de la population. Les auteurs concluent ainsi que, si la restauration des habitats constitue la priorité de long terme, la réduction de la pression de chasse demeure la mesure la plus efficace à court terme pour enrayer le déclin.</w:t>
      </w:r>
    </w:p>
    <w:p w14:paraId="52287E11" w14:textId="77777777" w:rsidR="00B4533B" w:rsidRPr="006E6A9F" w:rsidRDefault="00B4533B" w:rsidP="00ED69CB">
      <w:pPr>
        <w:jc w:val="both"/>
        <w:rPr>
          <w:sz w:val="22"/>
          <w:szCs w:val="22"/>
        </w:rPr>
      </w:pPr>
    </w:p>
    <w:p w14:paraId="07C50C39" w14:textId="2F6623A9" w:rsidR="00ED69CB" w:rsidRPr="006E6A9F" w:rsidRDefault="007E7AB1" w:rsidP="00ED69CB">
      <w:pPr>
        <w:jc w:val="both"/>
        <w:rPr>
          <w:sz w:val="22"/>
          <w:szCs w:val="22"/>
        </w:rPr>
      </w:pPr>
      <w:r w:rsidRPr="006E6A9F">
        <w:rPr>
          <w:sz w:val="22"/>
          <w:szCs w:val="22"/>
        </w:rPr>
        <w:t>C'est précisément pour cette raison que les experts mandatés par la Commission européenne ne recommandent pas une reprise progressive de la chasse. Au contraire, ils proposent, dans le cadre du futur mécanisme européen de gestion adaptative des prélèvements, une interdiction complète de la chasse, ou à tout le moins du prélèvement des femelles, jusqu'à ce que la population présente des signes clairs de rétablissement. Leur modélisation montre en effet que seule la suppression de la mortalité cynégétique permet d'obtenir un taux de croissance démographique positif, quel que soit le scénario retenu.</w:t>
      </w:r>
    </w:p>
    <w:p w14:paraId="6D24066C" w14:textId="77777777" w:rsidR="008E6395" w:rsidRPr="006E6A9F" w:rsidRDefault="008E6395" w:rsidP="00ED69CB">
      <w:pPr>
        <w:jc w:val="both"/>
        <w:rPr>
          <w:sz w:val="22"/>
          <w:szCs w:val="22"/>
        </w:rPr>
      </w:pPr>
    </w:p>
    <w:p w14:paraId="1B64B11B" w14:textId="0B1750DC" w:rsidR="008E6395" w:rsidRPr="006E6A9F" w:rsidRDefault="008E6395" w:rsidP="00ED69CB">
      <w:pPr>
        <w:jc w:val="both"/>
        <w:rPr>
          <w:sz w:val="22"/>
          <w:szCs w:val="22"/>
        </w:rPr>
      </w:pPr>
      <w:r w:rsidRPr="006E6A9F">
        <w:rPr>
          <w:sz w:val="22"/>
          <w:szCs w:val="22"/>
        </w:rPr>
        <w:t>La LPO rappelle également que cette recommandation était explicitement conditionnée à la mise en œuvre parallèle d'actions ambitieuses de restauration des habitats de reproduction. Or, les bilans établis par la Commission européenne montrent que ces actions demeurent largement insuffisantes dans la plupart des États membres, y compris en France, où aucune politique nationale d'ampleur n'a permis d'améliorer significativement les habitats favorables au Fuligule milouin.</w:t>
      </w:r>
    </w:p>
    <w:p w14:paraId="58900CA9" w14:textId="77777777" w:rsidR="008E6395" w:rsidRPr="006E6A9F" w:rsidRDefault="008E6395" w:rsidP="00ED69CB">
      <w:pPr>
        <w:jc w:val="both"/>
        <w:rPr>
          <w:sz w:val="22"/>
          <w:szCs w:val="22"/>
        </w:rPr>
      </w:pPr>
    </w:p>
    <w:p w14:paraId="0D480ED1" w14:textId="79A8BDCB" w:rsidR="00ED69CB" w:rsidRPr="006E6A9F" w:rsidRDefault="0008424C" w:rsidP="00ED69CB">
      <w:pPr>
        <w:jc w:val="both"/>
        <w:rPr>
          <w:sz w:val="22"/>
          <w:szCs w:val="22"/>
        </w:rPr>
      </w:pPr>
      <w:r w:rsidRPr="006E6A9F">
        <w:rPr>
          <w:sz w:val="22"/>
          <w:szCs w:val="22"/>
        </w:rPr>
        <w:t>Le projet d'arrêté ne retient ainsi des travaux scientifiques européens que l'amélioration récente de certains indicateurs démographiques, sans tenir compte des recommandations de gestion qui accompagnent cette amélioration et qui conditionnent explicitement toute évolution des prélèvements.</w:t>
      </w:r>
    </w:p>
    <w:p w14:paraId="6C17A92E" w14:textId="77777777" w:rsidR="00ED69CB" w:rsidRPr="006E6A9F" w:rsidRDefault="00ED69CB" w:rsidP="00ED69CB">
      <w:pPr>
        <w:jc w:val="both"/>
        <w:rPr>
          <w:sz w:val="22"/>
          <w:szCs w:val="22"/>
        </w:rPr>
      </w:pPr>
    </w:p>
    <w:p w14:paraId="597CEBB3" w14:textId="0428976F" w:rsidR="00BD7488" w:rsidRPr="006E6A9F" w:rsidRDefault="00BD7488" w:rsidP="00BD7488">
      <w:pPr>
        <w:jc w:val="both"/>
        <w:rPr>
          <w:sz w:val="22"/>
          <w:szCs w:val="22"/>
        </w:rPr>
      </w:pPr>
      <w:r w:rsidRPr="006E6A9F">
        <w:rPr>
          <w:sz w:val="22"/>
          <w:szCs w:val="22"/>
        </w:rPr>
        <w:t xml:space="preserve">En particulier, il ne prévoit ni un quota nul, pourtant seul scénario permettant selon les modélisations disponibles d'obtenir un taux de croissance démographique positif, ni l'interdiction du prélèvement des femelles, pourtant identifiée par les experts comme l'option minimale permettant de limiter l'impact de la chasse sur le segment le plus sensible de la population. </w:t>
      </w:r>
      <w:r w:rsidR="008D1B18" w:rsidRPr="008D1B18">
        <w:rPr>
          <w:sz w:val="22"/>
          <w:szCs w:val="22"/>
        </w:rPr>
        <w:t>Les seules recommandations formulées aux chasseurs en faveur d'un tir préférentiel des mâles ne présentent aucun caractère contraignant et ne permettent ni de contrôler ni de vérifier la proportion de femelles effectivement prélevées.</w:t>
      </w:r>
    </w:p>
    <w:p w14:paraId="31F92C70" w14:textId="77777777" w:rsidR="00BD7488" w:rsidRPr="006E6A9F" w:rsidRDefault="00BD7488" w:rsidP="00BD7488">
      <w:pPr>
        <w:jc w:val="both"/>
        <w:rPr>
          <w:sz w:val="22"/>
          <w:szCs w:val="22"/>
        </w:rPr>
      </w:pPr>
    </w:p>
    <w:p w14:paraId="286B22DF" w14:textId="77777777" w:rsidR="00BD7488" w:rsidRPr="006E6A9F" w:rsidRDefault="00BD7488" w:rsidP="00BD7488">
      <w:pPr>
        <w:jc w:val="both"/>
        <w:rPr>
          <w:sz w:val="22"/>
          <w:szCs w:val="22"/>
        </w:rPr>
      </w:pPr>
      <w:r w:rsidRPr="006E6A9F">
        <w:rPr>
          <w:sz w:val="22"/>
          <w:szCs w:val="22"/>
        </w:rPr>
        <w:t xml:space="preserve">Enfin, cette reprise de la chasse intervient alors même qu'aucune mesure nationale ambitieuse de restauration des habitats de reproduction n'a été engagée, alors que les experts européens soulignent que ces actions constituent la condition indispensable au rétablissement durable des populations. Les conditions posées par </w:t>
      </w:r>
      <w:r w:rsidRPr="006E6A9F">
        <w:rPr>
          <w:sz w:val="22"/>
          <w:szCs w:val="22"/>
        </w:rPr>
        <w:lastRenderedPageBreak/>
        <w:t>les travaux scientifiques ayant fondé le mécanisme européen de gestion adaptative des prélèvements ne sont donc pas réunies.</w:t>
      </w:r>
    </w:p>
    <w:p w14:paraId="178C6E07" w14:textId="77777777" w:rsidR="00BD7488" w:rsidRPr="006E6A9F" w:rsidRDefault="00BD7488" w:rsidP="00BD7488">
      <w:pPr>
        <w:jc w:val="both"/>
        <w:rPr>
          <w:sz w:val="22"/>
          <w:szCs w:val="22"/>
        </w:rPr>
      </w:pPr>
    </w:p>
    <w:p w14:paraId="31258D9E" w14:textId="19B6CEA0" w:rsidR="00BD7488" w:rsidRPr="006E6A9F" w:rsidRDefault="00BD7488" w:rsidP="00BD7488">
      <w:pPr>
        <w:jc w:val="both"/>
        <w:rPr>
          <w:sz w:val="22"/>
          <w:szCs w:val="22"/>
        </w:rPr>
      </w:pPr>
      <w:r w:rsidRPr="006E6A9F">
        <w:rPr>
          <w:sz w:val="22"/>
          <w:szCs w:val="22"/>
        </w:rPr>
        <w:t xml:space="preserve">Dans ces conditions, la LPO considère que le projet d'arrêté ne met pas en œuvre les recommandations scientifiques de la Task Force on the Recovery of Birds et ne permet pas de garantir que les prélèvements envisagés sont compatibles avec le rétablissement durable de l'espèce, conformément aux exigences de l'article 7 de la </w:t>
      </w:r>
      <w:r w:rsidR="00853989">
        <w:rPr>
          <w:sz w:val="22"/>
          <w:szCs w:val="22"/>
        </w:rPr>
        <w:t>D</w:t>
      </w:r>
      <w:r w:rsidRPr="006E6A9F">
        <w:rPr>
          <w:sz w:val="22"/>
          <w:szCs w:val="22"/>
        </w:rPr>
        <w:t>irective Oiseaux.</w:t>
      </w:r>
    </w:p>
    <w:p w14:paraId="56713C0B" w14:textId="77777777" w:rsidR="006E6A9F" w:rsidRPr="006E6A9F" w:rsidRDefault="006E6A9F" w:rsidP="00BD7488">
      <w:pPr>
        <w:jc w:val="both"/>
        <w:rPr>
          <w:sz w:val="22"/>
          <w:szCs w:val="22"/>
        </w:rPr>
      </w:pPr>
    </w:p>
    <w:p w14:paraId="08B6C09E" w14:textId="77777777" w:rsidR="00BD7488" w:rsidRPr="00853989" w:rsidRDefault="00BD7488" w:rsidP="00BD7488">
      <w:pPr>
        <w:jc w:val="both"/>
        <w:rPr>
          <w:b/>
          <w:bCs/>
          <w:sz w:val="22"/>
          <w:szCs w:val="22"/>
        </w:rPr>
      </w:pPr>
      <w:r w:rsidRPr="00853989">
        <w:rPr>
          <w:b/>
          <w:bCs/>
          <w:sz w:val="22"/>
          <w:szCs w:val="22"/>
        </w:rPr>
        <w:t>La LPO émet en conséquence un avis défavorable au projet d'arrêté.</w:t>
      </w:r>
    </w:p>
    <w:p w14:paraId="207A54B5" w14:textId="1C16A11D" w:rsidR="00ED69CB" w:rsidRPr="00ED69CB" w:rsidRDefault="00ED69CB" w:rsidP="00BD7488">
      <w:pPr>
        <w:jc w:val="both"/>
        <w:rPr>
          <w:sz w:val="22"/>
          <w:szCs w:val="22"/>
        </w:rPr>
      </w:pPr>
    </w:p>
    <w:sectPr w:rsidR="00ED69CB" w:rsidRPr="00ED69CB" w:rsidSect="00200D51">
      <w:headerReference w:type="default" r:id="rId8"/>
      <w:footerReference w:type="default" r:id="rId9"/>
      <w:footerReference w:type="first" r:id="rId10"/>
      <w:type w:val="continuous"/>
      <w:pgSz w:w="11906" w:h="16838" w:code="9"/>
      <w:pgMar w:top="1701" w:right="851" w:bottom="1134" w:left="851" w:header="680"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2CBF2" w14:textId="77777777" w:rsidR="004D0C12" w:rsidRDefault="004D0C12" w:rsidP="00F51D4C">
      <w:r>
        <w:separator/>
      </w:r>
    </w:p>
  </w:endnote>
  <w:endnote w:type="continuationSeparator" w:id="0">
    <w:p w14:paraId="5B2C8999" w14:textId="77777777" w:rsidR="004D0C12" w:rsidRDefault="004D0C12" w:rsidP="00F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PO">
    <w:altName w:val="Cambria"/>
    <w:panose1 w:val="00000000000000000000"/>
    <w:charset w:val="00"/>
    <w:family w:val="roman"/>
    <w:notTrueType/>
    <w:pitch w:val="default"/>
  </w:font>
  <w:font w:name="LPO Light DemiCond">
    <w:altName w:val="Calibri"/>
    <w:panose1 w:val="00000000000000000000"/>
    <w:charset w:val="00"/>
    <w:family w:val="modern"/>
    <w:notTrueType/>
    <w:pitch w:val="variable"/>
    <w:sig w:usb0="80000027" w:usb1="50000000" w:usb2="00000000" w:usb3="00000000" w:csb0="00000093" w:csb1="00000000"/>
  </w:font>
  <w:font w:name="LPO DemiCond">
    <w:altName w:val="Calibri"/>
    <w:panose1 w:val="00000000000000000000"/>
    <w:charset w:val="00"/>
    <w:family w:val="modern"/>
    <w:notTrueType/>
    <w:pitch w:val="variable"/>
    <w:sig w:usb0="80000027" w:usb1="5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pPr w:vertAnchor="page" w:horzAnchor="margin" w:tblpXSpec="right" w:tblpYSpec="bottom"/>
      <w:tblW w:w="5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15"/>
    </w:tblGrid>
    <w:tr w:rsidR="0086689B" w:rsidRPr="004F1BE1" w14:paraId="01E95B08" w14:textId="77777777" w:rsidTr="00B75D67">
      <w:trPr>
        <w:trHeight w:val="104"/>
      </w:trPr>
      <w:tc>
        <w:tcPr>
          <w:tcW w:w="5715" w:type="dxa"/>
        </w:tcPr>
        <w:p w14:paraId="6FF76BA4" w14:textId="77777777" w:rsidR="0086689B" w:rsidRPr="00420D3A" w:rsidRDefault="0086689B" w:rsidP="00420D3A">
          <w:pPr>
            <w:pStyle w:val="Adressebasdepage"/>
            <w:framePr w:wrap="auto" w:vAnchor="margin" w:hAnchor="text" w:xAlign="left" w:yAlign="inline"/>
            <w:rPr>
              <w:rStyle w:val="Texteregulardemicondensed"/>
            </w:rPr>
          </w:pPr>
        </w:p>
      </w:tc>
    </w:tr>
    <w:tr w:rsidR="0086689B" w:rsidRPr="004F1BE1" w14:paraId="6EFCC494" w14:textId="77777777" w:rsidTr="00B75D67">
      <w:trPr>
        <w:trHeight w:val="425"/>
      </w:trPr>
      <w:tc>
        <w:tcPr>
          <w:tcW w:w="5715" w:type="dxa"/>
          <w:vAlign w:val="bottom"/>
        </w:tcPr>
        <w:p w14:paraId="7055FD79" w14:textId="77777777" w:rsidR="0086689B" w:rsidRPr="00420D3A" w:rsidRDefault="0086689B" w:rsidP="00420D3A">
          <w:pPr>
            <w:pStyle w:val="Adressebasdepage"/>
            <w:framePr w:wrap="auto" w:vAnchor="margin" w:hAnchor="text" w:xAlign="left" w:yAlign="inline"/>
          </w:pPr>
          <w:r w:rsidRPr="008F540F">
            <w:rPr>
              <w:rStyle w:val="Texteregulardemicondensed"/>
            </w:rPr>
            <w:t>LPO France -</w:t>
          </w:r>
          <w:r w:rsidRPr="00420D3A">
            <w:t xml:space="preserve"> Siège social national LPO</w:t>
          </w:r>
        </w:p>
        <w:p w14:paraId="2DE9F44F" w14:textId="77777777" w:rsidR="0086689B" w:rsidRPr="00420D3A" w:rsidRDefault="0086689B" w:rsidP="00420D3A">
          <w:pPr>
            <w:pStyle w:val="Adressebasdepage"/>
            <w:framePr w:wrap="auto" w:vAnchor="margin" w:hAnchor="text" w:xAlign="left" w:yAlign="inline"/>
          </w:pPr>
          <w:r w:rsidRPr="00420D3A">
            <w:t xml:space="preserve">Fonderies Royales - 1 rue Toufaire - CS 90263 - 17305 ROCHEFORT CEDEX </w:t>
          </w:r>
        </w:p>
        <w:p w14:paraId="034E5418" w14:textId="77777777" w:rsidR="0086689B" w:rsidRPr="00420D3A" w:rsidRDefault="0086689B" w:rsidP="00420D3A">
          <w:pPr>
            <w:pStyle w:val="Adressebasdepage"/>
            <w:framePr w:wrap="auto" w:vAnchor="margin" w:hAnchor="text" w:xAlign="left" w:yAlign="inline"/>
          </w:pPr>
          <w:r w:rsidRPr="00420D3A">
            <w:t>Tél. 05 46 82 12 34 - Fax. 05 46 83 95 86 - lpo@lpo.fr</w:t>
          </w:r>
        </w:p>
      </w:tc>
    </w:tr>
    <w:tr w:rsidR="0086689B" w:rsidRPr="004F1BE1" w14:paraId="2AB4E815" w14:textId="77777777" w:rsidTr="00B75D67">
      <w:trPr>
        <w:trHeight w:val="509"/>
      </w:trPr>
      <w:tc>
        <w:tcPr>
          <w:tcW w:w="5715" w:type="dxa"/>
        </w:tcPr>
        <w:p w14:paraId="720E53E2" w14:textId="77777777" w:rsidR="0086689B" w:rsidRPr="004F1BE1" w:rsidRDefault="0086689B" w:rsidP="004F1BE1">
          <w:pPr>
            <w:rPr>
              <w:rFonts w:ascii="LPO Light DemiCond" w:hAnsi="LPO Light DemiCond"/>
              <w:sz w:val="14"/>
              <w:szCs w:val="14"/>
            </w:rPr>
          </w:pPr>
        </w:p>
      </w:tc>
    </w:tr>
  </w:tbl>
  <w:p w14:paraId="79384584" w14:textId="77777777" w:rsidR="0086689B" w:rsidRDefault="0086689B" w:rsidP="004F1BE1">
    <w:pPr/>
  </w:p>
  <w:p w14:paraId="7ECFDBA0" w14:textId="77777777" w:rsidR="0086689B" w:rsidRPr="004F1BE1" w:rsidRDefault="0086689B" w:rsidP="004F1BE1">
    <w:pPr>
      <w:pStyle w:val="Adresseinternet"/>
    </w:pPr>
    <w:r w:rsidRPr="004F1BE1">
      <w:t>lpo.fr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3BBF" w14:textId="77777777" w:rsidR="0086689B" w:rsidRDefault="0086689B">
    <w:pPr/>
  </w:p>
  <w:p w14:paraId="7AB4EFF1" w14:textId="77777777" w:rsidR="0086689B" w:rsidRDefault="0086689B">
    <w:pPr/>
  </w:p>
  <w:p w14:paraId="0A65DD6D" w14:textId="77777777" w:rsidR="0086689B" w:rsidRDefault="0086689B">
    <w:pPr/>
  </w:p>
  <w:p w14:paraId="00EC4F3B" w14:textId="77777777" w:rsidR="0086689B" w:rsidRDefault="0086689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502E2" w14:textId="77777777" w:rsidR="004D0C12" w:rsidRDefault="004D0C12" w:rsidP="00F51D4C">
      <w:r>
        <w:separator/>
      </w:r>
    </w:p>
  </w:footnote>
  <w:footnote w:type="continuationSeparator" w:id="0">
    <w:p w14:paraId="08011E7B" w14:textId="77777777" w:rsidR="004D0C12" w:rsidRDefault="004D0C12" w:rsidP="00F5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4"/>
    </w:tblGrid>
    <w:tr w:rsidR="0086689B" w14:paraId="257D52BA" w14:textId="77777777" w:rsidTr="001F2AE3">
      <w:trPr>
        <w:trHeight w:val="1433"/>
      </w:trPr>
      <w:tc>
        <w:tcPr>
          <w:tcW w:w="10194" w:type="dxa"/>
        </w:tcPr>
        <w:p w14:paraId="30F44163" w14:textId="77777777" w:rsidR="0086689B" w:rsidRDefault="0086689B" w:rsidP="001F2AE3">
          <w:pPr>
            <w:pStyle w:val="Logotype"/>
          </w:pPr>
          <w:r>
            <w:rPr>
              <w:noProof/>
              <w:lang w:eastAsia="fr-FR"/>
            </w:rPr>
            <w:drawing>
              <wp:inline distT="0" distB="0" distL="0" distR="0" wp14:anchorId="085F2550" wp14:editId="265E31E4">
                <wp:extent cx="2504639" cy="904017"/>
                <wp:effectExtent l="0" t="0" r="0" b="0"/>
                <wp:docPr id="525868422" name="Image 525868422">
                  <a:extLst xmlns:a="http://schemas.openxmlformats.org/drawingml/2006/main">
                    <a:ext uri="{FF2B5EF4-FFF2-40B4-BE49-F238E27FC236}">
                      <a16:creationId xmlns:a16="http://schemas.microsoft.com/office/drawing/2014/main" id="{7C36608C-B32A-40D5-A289-0A341770F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504639" cy="904017"/>
                        </a:xfrm>
                        <a:prstGeom prst="rect">
                          <a:avLst/>
                        </a:prstGeom>
                      </pic:spPr>
                    </pic:pic>
                  </a:graphicData>
                </a:graphic>
              </wp:inline>
            </w:drawing>
          </w:r>
        </w:p>
      </w:tc>
    </w:tr>
  </w:tbl>
  <w:p w14:paraId="53DB624A" w14:textId="77777777" w:rsidR="0086689B" w:rsidRDefault="0086689B" w:rsidP="008874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3B34"/>
    <w:multiLevelType w:val="hybridMultilevel"/>
    <w:tmpl w:val="38D247C4"/>
    <w:lvl w:ilvl="0" w:tplc="B2A01450">
      <w:start w:val="1"/>
      <w:numFmt w:val="bullet"/>
      <w:pStyle w:val="Textepuc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0BD08C6"/>
    <w:multiLevelType w:val="hybridMultilevel"/>
    <w:tmpl w:val="71CCF9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8B2574B"/>
    <w:multiLevelType w:val="hybridMultilevel"/>
    <w:tmpl w:val="584A6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E61BB0"/>
    <w:multiLevelType w:val="hybridMultilevel"/>
    <w:tmpl w:val="BF0E0564"/>
    <w:lvl w:ilvl="0" w:tplc="26084D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D103CB"/>
    <w:multiLevelType w:val="hybridMultilevel"/>
    <w:tmpl w:val="C624D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4C0A10"/>
    <w:multiLevelType w:val="hybridMultilevel"/>
    <w:tmpl w:val="AE74260A"/>
    <w:lvl w:ilvl="0" w:tplc="6114BE1C">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042050"/>
    <w:multiLevelType w:val="hybridMultilevel"/>
    <w:tmpl w:val="A118ADB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556FF1"/>
    <w:multiLevelType w:val="multilevel"/>
    <w:tmpl w:val="96640B32"/>
    <w:lvl w:ilvl="0">
      <w:start w:val="1"/>
      <w:numFmt w:val="none"/>
      <w:suff w:val="nothing"/>
      <w:lvlText w:val="%1"/>
      <w:lvlJc w:val="left"/>
      <w:pPr>
        <w:ind w:left="0" w:firstLine="0"/>
      </w:pPr>
      <w:rPr>
        <w:rFonts w:hint="default"/>
      </w:rPr>
    </w:lvl>
    <w:lvl w:ilvl="1">
      <w:start w:val="1"/>
      <w:numFmt w:val="none"/>
      <w:pStyle w:val="Heading2"/>
      <w:suff w:val="nothing"/>
      <w:lvlText w:val="%1"/>
      <w:lvlJc w:val="left"/>
      <w:pPr>
        <w:ind w:left="0" w:firstLine="0"/>
      </w:pPr>
      <w:rPr>
        <w:rFonts w:hint="default"/>
      </w:rPr>
    </w:lvl>
    <w:lvl w:ilvl="2">
      <w:start w:val="1"/>
      <w:numFmt w:val="decimal"/>
      <w:pStyle w:val="Heading3"/>
      <w:suff w:val="space"/>
      <w:lvlText w:val="%1%3."/>
      <w:lvlJc w:val="left"/>
      <w:pPr>
        <w:ind w:left="0" w:firstLine="0"/>
      </w:pPr>
      <w:rPr>
        <w:rFonts w:hint="default"/>
      </w:rPr>
    </w:lvl>
    <w:lvl w:ilvl="3">
      <w:start w:val="1"/>
      <w:numFmt w:val="decimal"/>
      <w:pStyle w:val="Heading4"/>
      <w:suff w:val="space"/>
      <w:lvlText w:val="%1%3.%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580D31B6"/>
    <w:multiLevelType w:val="hybridMultilevel"/>
    <w:tmpl w:val="C674D878"/>
    <w:lvl w:ilvl="0" w:tplc="FFFFFFFF">
      <w:start w:val="1"/>
      <w:numFmt w:val="bullet"/>
      <w:lvlText w:val=""/>
      <w:lvlJc w:val="left"/>
      <w:pPr>
        <w:ind w:left="720" w:hanging="360"/>
      </w:pPr>
      <w:rPr>
        <w:rFonts w:ascii="Symbol" w:hAnsi="Symbol" w:hint="default"/>
      </w:rPr>
    </w:lvl>
    <w:lvl w:ilvl="1" w:tplc="3B6E37D2">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72707C"/>
    <w:multiLevelType w:val="hybridMultilevel"/>
    <w:tmpl w:val="07801D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FB3867"/>
    <w:multiLevelType w:val="hybridMultilevel"/>
    <w:tmpl w:val="A1FCCB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0AD6281"/>
    <w:multiLevelType w:val="hybridMultilevel"/>
    <w:tmpl w:val="44C801B6"/>
    <w:lvl w:ilvl="0" w:tplc="6032EB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C0E02E6"/>
    <w:multiLevelType w:val="multilevel"/>
    <w:tmpl w:val="22322D5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1193687490">
    <w:abstractNumId w:val="2"/>
  </w:num>
  <w:num w:numId="2" w16cid:durableId="1259676162">
    <w:abstractNumId w:val="16"/>
  </w:num>
  <w:num w:numId="3" w16cid:durableId="1260020805">
    <w:abstractNumId w:val="11"/>
  </w:num>
  <w:num w:numId="4" w16cid:durableId="1383212450">
    <w:abstractNumId w:val="1"/>
  </w:num>
  <w:num w:numId="5" w16cid:durableId="1533687310">
    <w:abstractNumId w:val="18"/>
  </w:num>
  <w:num w:numId="6" w16cid:durableId="1547717893">
    <w:abstractNumId w:val="17"/>
  </w:num>
  <w:num w:numId="7" w16cid:durableId="1568151665">
    <w:abstractNumId w:val="0"/>
  </w:num>
  <w:num w:numId="8" w16cid:durableId="1578975048">
    <w:abstractNumId w:val="22"/>
  </w:num>
  <w:num w:numId="9" w16cid:durableId="1589608058">
    <w:abstractNumId w:val="15"/>
  </w:num>
  <w:num w:numId="10" w16cid:durableId="1598513099">
    <w:abstractNumId w:val="20"/>
  </w:num>
  <w:num w:numId="11" w16cid:durableId="1691829668">
    <w:abstractNumId w:val="14"/>
  </w:num>
  <w:num w:numId="12" w16cid:durableId="1789008716">
    <w:abstractNumId w:val="19"/>
  </w:num>
  <w:num w:numId="13" w16cid:durableId="1996643171">
    <w:abstractNumId w:val="10"/>
  </w:num>
  <w:num w:numId="14" w16cid:durableId="2011522632">
    <w:abstractNumId w:val="21"/>
  </w:num>
  <w:num w:numId="15" w16cid:durableId="2080665429">
    <w:abstractNumId w:val="5"/>
  </w:num>
  <w:num w:numId="16" w16cid:durableId="2140949047">
    <w:abstractNumId w:val="9"/>
  </w:num>
  <w:num w:numId="17" w16cid:durableId="2141026191">
    <w:abstractNumId w:val="7"/>
  </w:num>
  <w:num w:numId="18" w16cid:durableId="274410178">
    <w:abstractNumId w:val="6"/>
  </w:num>
  <w:num w:numId="19" w16cid:durableId="675108142">
    <w:abstractNumId w:val="12"/>
  </w:num>
  <w:num w:numId="20" w16cid:durableId="735013079">
    <w:abstractNumId w:val="13"/>
  </w:num>
  <w:num w:numId="21" w16cid:durableId="743532503">
    <w:abstractNumId w:val="3"/>
  </w:num>
  <w:num w:numId="22" w16cid:durableId="756945876">
    <w:abstractNumId w:val="8"/>
  </w:num>
  <w:num w:numId="23" w16cid:durableId="841435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nimal Ecology&lt;/Style&gt;&lt;LeftDelim&gt;{&lt;/LeftDelim&gt;&lt;RightDelim&gt;}&lt;/RightDelim&gt;&lt;FontName&gt;LPO&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d5za5fczt9wnea9rbvexfg9wr525aa9wtf&quot;&gt;BiblioLPO_GQ2020&lt;record-ids&gt;&lt;item&gt;1092&lt;/item&gt;&lt;item&gt;2434&lt;/item&gt;&lt;item&gt;2435&lt;/item&gt;&lt;/record-ids&gt;&lt;/item&gt;&lt;/Libraries&gt;"/>
  </w:docVars>
  <w:rsids>
    <w:rsidRoot w:val="0031316D"/>
    <w:rsid w:val="00001121"/>
    <w:rsid w:val="00004665"/>
    <w:rsid w:val="00022E58"/>
    <w:rsid w:val="0002745B"/>
    <w:rsid w:val="00032D46"/>
    <w:rsid w:val="0004114E"/>
    <w:rsid w:val="00044A59"/>
    <w:rsid w:val="00044E4D"/>
    <w:rsid w:val="0004510A"/>
    <w:rsid w:val="0004617E"/>
    <w:rsid w:val="00050482"/>
    <w:rsid w:val="00054694"/>
    <w:rsid w:val="00055569"/>
    <w:rsid w:val="0006428F"/>
    <w:rsid w:val="00065DD2"/>
    <w:rsid w:val="00067CE5"/>
    <w:rsid w:val="0007439A"/>
    <w:rsid w:val="00075C77"/>
    <w:rsid w:val="00076876"/>
    <w:rsid w:val="0008424C"/>
    <w:rsid w:val="000846A1"/>
    <w:rsid w:val="000911DA"/>
    <w:rsid w:val="000969B2"/>
    <w:rsid w:val="000A3A3A"/>
    <w:rsid w:val="000A47EE"/>
    <w:rsid w:val="000A4A8A"/>
    <w:rsid w:val="000A663C"/>
    <w:rsid w:val="000B2936"/>
    <w:rsid w:val="000B54DF"/>
    <w:rsid w:val="000B675F"/>
    <w:rsid w:val="000B6B41"/>
    <w:rsid w:val="000C0650"/>
    <w:rsid w:val="000C15A4"/>
    <w:rsid w:val="000C1AB0"/>
    <w:rsid w:val="000C22BE"/>
    <w:rsid w:val="000C711B"/>
    <w:rsid w:val="000D2215"/>
    <w:rsid w:val="000E2F8F"/>
    <w:rsid w:val="000E3E5F"/>
    <w:rsid w:val="000E5C2D"/>
    <w:rsid w:val="000F343C"/>
    <w:rsid w:val="000F6338"/>
    <w:rsid w:val="00101A71"/>
    <w:rsid w:val="001036AC"/>
    <w:rsid w:val="00105598"/>
    <w:rsid w:val="00106BAA"/>
    <w:rsid w:val="001072EC"/>
    <w:rsid w:val="00107359"/>
    <w:rsid w:val="00107E00"/>
    <w:rsid w:val="00111EB2"/>
    <w:rsid w:val="0011630B"/>
    <w:rsid w:val="00122570"/>
    <w:rsid w:val="00124E24"/>
    <w:rsid w:val="00136AA9"/>
    <w:rsid w:val="00161D8F"/>
    <w:rsid w:val="00166990"/>
    <w:rsid w:val="00172BCD"/>
    <w:rsid w:val="00175382"/>
    <w:rsid w:val="00181BE9"/>
    <w:rsid w:val="0019169F"/>
    <w:rsid w:val="00192D24"/>
    <w:rsid w:val="001952A6"/>
    <w:rsid w:val="001A598C"/>
    <w:rsid w:val="001B03B5"/>
    <w:rsid w:val="001B1EF0"/>
    <w:rsid w:val="001C40BB"/>
    <w:rsid w:val="001C484D"/>
    <w:rsid w:val="001C59C8"/>
    <w:rsid w:val="001C670D"/>
    <w:rsid w:val="001D2028"/>
    <w:rsid w:val="001D61DE"/>
    <w:rsid w:val="001E3C66"/>
    <w:rsid w:val="001F2AE3"/>
    <w:rsid w:val="00200D51"/>
    <w:rsid w:val="002019AB"/>
    <w:rsid w:val="00203661"/>
    <w:rsid w:val="002042CF"/>
    <w:rsid w:val="002114CF"/>
    <w:rsid w:val="00212F69"/>
    <w:rsid w:val="0022180D"/>
    <w:rsid w:val="00223236"/>
    <w:rsid w:val="002325E0"/>
    <w:rsid w:val="00232F90"/>
    <w:rsid w:val="00241625"/>
    <w:rsid w:val="002479B4"/>
    <w:rsid w:val="00257370"/>
    <w:rsid w:val="00257A9A"/>
    <w:rsid w:val="002648E4"/>
    <w:rsid w:val="002719C3"/>
    <w:rsid w:val="00275D5C"/>
    <w:rsid w:val="002C44CD"/>
    <w:rsid w:val="002C4CFC"/>
    <w:rsid w:val="002D036F"/>
    <w:rsid w:val="002D1D8D"/>
    <w:rsid w:val="002D5466"/>
    <w:rsid w:val="002D7647"/>
    <w:rsid w:val="002E3F2C"/>
    <w:rsid w:val="002E5804"/>
    <w:rsid w:val="003004AA"/>
    <w:rsid w:val="003006B9"/>
    <w:rsid w:val="003032D8"/>
    <w:rsid w:val="00305372"/>
    <w:rsid w:val="00311C16"/>
    <w:rsid w:val="0031316D"/>
    <w:rsid w:val="0031478D"/>
    <w:rsid w:val="003212E5"/>
    <w:rsid w:val="00321FA5"/>
    <w:rsid w:val="00325C7F"/>
    <w:rsid w:val="0032621C"/>
    <w:rsid w:val="00341604"/>
    <w:rsid w:val="00363F95"/>
    <w:rsid w:val="00370CC5"/>
    <w:rsid w:val="003721C6"/>
    <w:rsid w:val="00392032"/>
    <w:rsid w:val="003A3149"/>
    <w:rsid w:val="003A527E"/>
    <w:rsid w:val="003A701A"/>
    <w:rsid w:val="003A7235"/>
    <w:rsid w:val="003B6C0E"/>
    <w:rsid w:val="003C7C34"/>
    <w:rsid w:val="003C7DC4"/>
    <w:rsid w:val="003E1F3F"/>
    <w:rsid w:val="003E3A9D"/>
    <w:rsid w:val="003F35F9"/>
    <w:rsid w:val="003F5550"/>
    <w:rsid w:val="004121DB"/>
    <w:rsid w:val="00413FD5"/>
    <w:rsid w:val="00420D3A"/>
    <w:rsid w:val="004270E2"/>
    <w:rsid w:val="00435FBE"/>
    <w:rsid w:val="00436B6B"/>
    <w:rsid w:val="004506E1"/>
    <w:rsid w:val="004645D2"/>
    <w:rsid w:val="00472453"/>
    <w:rsid w:val="00482056"/>
    <w:rsid w:val="00493E7E"/>
    <w:rsid w:val="00494985"/>
    <w:rsid w:val="004A35DF"/>
    <w:rsid w:val="004C64F2"/>
    <w:rsid w:val="004D0C12"/>
    <w:rsid w:val="004D287F"/>
    <w:rsid w:val="004E416F"/>
    <w:rsid w:val="004F1BE1"/>
    <w:rsid w:val="004F4BF1"/>
    <w:rsid w:val="004F703D"/>
    <w:rsid w:val="005102E2"/>
    <w:rsid w:val="00515EFA"/>
    <w:rsid w:val="005161F1"/>
    <w:rsid w:val="00517B57"/>
    <w:rsid w:val="00520F25"/>
    <w:rsid w:val="005232F9"/>
    <w:rsid w:val="0054088C"/>
    <w:rsid w:val="00542105"/>
    <w:rsid w:val="00550AF2"/>
    <w:rsid w:val="00551848"/>
    <w:rsid w:val="00552EA5"/>
    <w:rsid w:val="0056340D"/>
    <w:rsid w:val="00566D41"/>
    <w:rsid w:val="005676C4"/>
    <w:rsid w:val="005724B8"/>
    <w:rsid w:val="00572729"/>
    <w:rsid w:val="00575EBB"/>
    <w:rsid w:val="00576056"/>
    <w:rsid w:val="0058360F"/>
    <w:rsid w:val="005871C9"/>
    <w:rsid w:val="005962E1"/>
    <w:rsid w:val="005B32D3"/>
    <w:rsid w:val="005B51DB"/>
    <w:rsid w:val="005D4D28"/>
    <w:rsid w:val="005D6682"/>
    <w:rsid w:val="005E18DB"/>
    <w:rsid w:val="005E1FE6"/>
    <w:rsid w:val="005E5081"/>
    <w:rsid w:val="005E67C2"/>
    <w:rsid w:val="005F4320"/>
    <w:rsid w:val="005F4AA2"/>
    <w:rsid w:val="005F583C"/>
    <w:rsid w:val="00600CB9"/>
    <w:rsid w:val="00603C48"/>
    <w:rsid w:val="006158F9"/>
    <w:rsid w:val="00622097"/>
    <w:rsid w:val="00625CD5"/>
    <w:rsid w:val="00630AA6"/>
    <w:rsid w:val="006452CB"/>
    <w:rsid w:val="006501BA"/>
    <w:rsid w:val="00654783"/>
    <w:rsid w:val="00663025"/>
    <w:rsid w:val="00673CA7"/>
    <w:rsid w:val="00675356"/>
    <w:rsid w:val="00682833"/>
    <w:rsid w:val="0068373F"/>
    <w:rsid w:val="0069369C"/>
    <w:rsid w:val="00695F8B"/>
    <w:rsid w:val="006A22F0"/>
    <w:rsid w:val="006A29B9"/>
    <w:rsid w:val="006A5503"/>
    <w:rsid w:val="006B108E"/>
    <w:rsid w:val="006B37BF"/>
    <w:rsid w:val="006B627F"/>
    <w:rsid w:val="006C296F"/>
    <w:rsid w:val="006C2CBF"/>
    <w:rsid w:val="006C7C6C"/>
    <w:rsid w:val="006E4C39"/>
    <w:rsid w:val="006E6A9F"/>
    <w:rsid w:val="006E70EE"/>
    <w:rsid w:val="006E7A9C"/>
    <w:rsid w:val="006F538E"/>
    <w:rsid w:val="00700B3C"/>
    <w:rsid w:val="00704B3A"/>
    <w:rsid w:val="00733BE4"/>
    <w:rsid w:val="00737135"/>
    <w:rsid w:val="00737453"/>
    <w:rsid w:val="00744F2B"/>
    <w:rsid w:val="00745B83"/>
    <w:rsid w:val="00746CD8"/>
    <w:rsid w:val="00765B60"/>
    <w:rsid w:val="00766313"/>
    <w:rsid w:val="00772A79"/>
    <w:rsid w:val="0078029C"/>
    <w:rsid w:val="00781D46"/>
    <w:rsid w:val="00786B20"/>
    <w:rsid w:val="007958C9"/>
    <w:rsid w:val="007A1A54"/>
    <w:rsid w:val="007A2CEE"/>
    <w:rsid w:val="007B06AF"/>
    <w:rsid w:val="007B45EE"/>
    <w:rsid w:val="007B6798"/>
    <w:rsid w:val="007C72D2"/>
    <w:rsid w:val="007E3D27"/>
    <w:rsid w:val="007E7AB1"/>
    <w:rsid w:val="007F11B7"/>
    <w:rsid w:val="007F1252"/>
    <w:rsid w:val="007F243D"/>
    <w:rsid w:val="007F2629"/>
    <w:rsid w:val="00801888"/>
    <w:rsid w:val="00820FB2"/>
    <w:rsid w:val="008243F5"/>
    <w:rsid w:val="008464EA"/>
    <w:rsid w:val="00850673"/>
    <w:rsid w:val="0085354D"/>
    <w:rsid w:val="00853989"/>
    <w:rsid w:val="00854A7A"/>
    <w:rsid w:val="0086689B"/>
    <w:rsid w:val="00866DC8"/>
    <w:rsid w:val="00875951"/>
    <w:rsid w:val="00883B3C"/>
    <w:rsid w:val="008874EB"/>
    <w:rsid w:val="00894B95"/>
    <w:rsid w:val="008A0FD6"/>
    <w:rsid w:val="008A3EE3"/>
    <w:rsid w:val="008A40FC"/>
    <w:rsid w:val="008A45EF"/>
    <w:rsid w:val="008B1C64"/>
    <w:rsid w:val="008C0C6F"/>
    <w:rsid w:val="008C0EAD"/>
    <w:rsid w:val="008C284B"/>
    <w:rsid w:val="008D1B18"/>
    <w:rsid w:val="008D38D0"/>
    <w:rsid w:val="008D4436"/>
    <w:rsid w:val="008D7A95"/>
    <w:rsid w:val="008E4800"/>
    <w:rsid w:val="008E6395"/>
    <w:rsid w:val="008F3D9D"/>
    <w:rsid w:val="008F540F"/>
    <w:rsid w:val="008F75B8"/>
    <w:rsid w:val="009041A5"/>
    <w:rsid w:val="00907A8F"/>
    <w:rsid w:val="00913B9F"/>
    <w:rsid w:val="00920AD7"/>
    <w:rsid w:val="00923DCE"/>
    <w:rsid w:val="0092475C"/>
    <w:rsid w:val="00932B7E"/>
    <w:rsid w:val="00933151"/>
    <w:rsid w:val="009340DF"/>
    <w:rsid w:val="0095484D"/>
    <w:rsid w:val="00954B7C"/>
    <w:rsid w:val="0095642C"/>
    <w:rsid w:val="00960D69"/>
    <w:rsid w:val="00962526"/>
    <w:rsid w:val="009673B1"/>
    <w:rsid w:val="00971591"/>
    <w:rsid w:val="00974B2F"/>
    <w:rsid w:val="009764FA"/>
    <w:rsid w:val="00990E58"/>
    <w:rsid w:val="00993F10"/>
    <w:rsid w:val="00996174"/>
    <w:rsid w:val="009A005D"/>
    <w:rsid w:val="009A1511"/>
    <w:rsid w:val="009B0B40"/>
    <w:rsid w:val="009B2309"/>
    <w:rsid w:val="009B5EEF"/>
    <w:rsid w:val="009C43FC"/>
    <w:rsid w:val="009C45B4"/>
    <w:rsid w:val="009D0EA8"/>
    <w:rsid w:val="009E71AB"/>
    <w:rsid w:val="009F1E09"/>
    <w:rsid w:val="009F7EDE"/>
    <w:rsid w:val="00A05BA2"/>
    <w:rsid w:val="00A07EB2"/>
    <w:rsid w:val="00A34A8F"/>
    <w:rsid w:val="00A503D5"/>
    <w:rsid w:val="00A52962"/>
    <w:rsid w:val="00A546F2"/>
    <w:rsid w:val="00A5555D"/>
    <w:rsid w:val="00A65C8D"/>
    <w:rsid w:val="00A70367"/>
    <w:rsid w:val="00A72432"/>
    <w:rsid w:val="00A80554"/>
    <w:rsid w:val="00A9495F"/>
    <w:rsid w:val="00A97F7E"/>
    <w:rsid w:val="00AA01A4"/>
    <w:rsid w:val="00AA1FAF"/>
    <w:rsid w:val="00AB0D18"/>
    <w:rsid w:val="00AD7E8B"/>
    <w:rsid w:val="00AD7FF1"/>
    <w:rsid w:val="00AE2209"/>
    <w:rsid w:val="00AE3A61"/>
    <w:rsid w:val="00AE4C51"/>
    <w:rsid w:val="00AE6BC5"/>
    <w:rsid w:val="00AF4D77"/>
    <w:rsid w:val="00AF65C6"/>
    <w:rsid w:val="00AF7988"/>
    <w:rsid w:val="00B10B9B"/>
    <w:rsid w:val="00B203B8"/>
    <w:rsid w:val="00B219E1"/>
    <w:rsid w:val="00B2369E"/>
    <w:rsid w:val="00B33CF7"/>
    <w:rsid w:val="00B4533B"/>
    <w:rsid w:val="00B57222"/>
    <w:rsid w:val="00B7398A"/>
    <w:rsid w:val="00B75D67"/>
    <w:rsid w:val="00B97D87"/>
    <w:rsid w:val="00BA2ADD"/>
    <w:rsid w:val="00BA3F0F"/>
    <w:rsid w:val="00BB0E22"/>
    <w:rsid w:val="00BD63BA"/>
    <w:rsid w:val="00BD7488"/>
    <w:rsid w:val="00BD7559"/>
    <w:rsid w:val="00BE2818"/>
    <w:rsid w:val="00BF2567"/>
    <w:rsid w:val="00BF2957"/>
    <w:rsid w:val="00BF3480"/>
    <w:rsid w:val="00C04932"/>
    <w:rsid w:val="00C06651"/>
    <w:rsid w:val="00C145A8"/>
    <w:rsid w:val="00C224A8"/>
    <w:rsid w:val="00C30949"/>
    <w:rsid w:val="00C30F73"/>
    <w:rsid w:val="00C3516E"/>
    <w:rsid w:val="00C60E7B"/>
    <w:rsid w:val="00C71996"/>
    <w:rsid w:val="00CA33F7"/>
    <w:rsid w:val="00CA78E3"/>
    <w:rsid w:val="00CC0266"/>
    <w:rsid w:val="00CD287A"/>
    <w:rsid w:val="00CE3763"/>
    <w:rsid w:val="00CE6070"/>
    <w:rsid w:val="00D006AB"/>
    <w:rsid w:val="00D10641"/>
    <w:rsid w:val="00D15A10"/>
    <w:rsid w:val="00D16846"/>
    <w:rsid w:val="00D21698"/>
    <w:rsid w:val="00D309CF"/>
    <w:rsid w:val="00D34CE3"/>
    <w:rsid w:val="00D43CC8"/>
    <w:rsid w:val="00D4752C"/>
    <w:rsid w:val="00D4764D"/>
    <w:rsid w:val="00D50795"/>
    <w:rsid w:val="00D53FA0"/>
    <w:rsid w:val="00D67424"/>
    <w:rsid w:val="00D67DEE"/>
    <w:rsid w:val="00D8760F"/>
    <w:rsid w:val="00D977FA"/>
    <w:rsid w:val="00DA58A9"/>
    <w:rsid w:val="00DA781B"/>
    <w:rsid w:val="00DB0CD7"/>
    <w:rsid w:val="00DB2103"/>
    <w:rsid w:val="00DB4DBF"/>
    <w:rsid w:val="00DB612B"/>
    <w:rsid w:val="00DC5689"/>
    <w:rsid w:val="00DC5D94"/>
    <w:rsid w:val="00DD2015"/>
    <w:rsid w:val="00DF1D7B"/>
    <w:rsid w:val="00DF36DD"/>
    <w:rsid w:val="00DF66AA"/>
    <w:rsid w:val="00E02CB7"/>
    <w:rsid w:val="00E05F6E"/>
    <w:rsid w:val="00E107DD"/>
    <w:rsid w:val="00E157FF"/>
    <w:rsid w:val="00E15FD0"/>
    <w:rsid w:val="00E34CFC"/>
    <w:rsid w:val="00E35C14"/>
    <w:rsid w:val="00E36BB3"/>
    <w:rsid w:val="00E40C1A"/>
    <w:rsid w:val="00E5001E"/>
    <w:rsid w:val="00E56138"/>
    <w:rsid w:val="00E70B39"/>
    <w:rsid w:val="00E76A4E"/>
    <w:rsid w:val="00E92ADF"/>
    <w:rsid w:val="00E935DC"/>
    <w:rsid w:val="00EA53D3"/>
    <w:rsid w:val="00EB26BE"/>
    <w:rsid w:val="00EC3B72"/>
    <w:rsid w:val="00ED5757"/>
    <w:rsid w:val="00ED69CB"/>
    <w:rsid w:val="00EE1E34"/>
    <w:rsid w:val="00EE3154"/>
    <w:rsid w:val="00EE4860"/>
    <w:rsid w:val="00EF2A6B"/>
    <w:rsid w:val="00EF5C81"/>
    <w:rsid w:val="00F02199"/>
    <w:rsid w:val="00F030D2"/>
    <w:rsid w:val="00F07229"/>
    <w:rsid w:val="00F16A9F"/>
    <w:rsid w:val="00F16E59"/>
    <w:rsid w:val="00F33EE0"/>
    <w:rsid w:val="00F35114"/>
    <w:rsid w:val="00F51D4C"/>
    <w:rsid w:val="00F57140"/>
    <w:rsid w:val="00F57FF0"/>
    <w:rsid w:val="00F66993"/>
    <w:rsid w:val="00F67BC0"/>
    <w:rsid w:val="00F722EB"/>
    <w:rsid w:val="00F87048"/>
    <w:rsid w:val="00F96D25"/>
    <w:rsid w:val="00FA102A"/>
    <w:rsid w:val="00FA1E79"/>
    <w:rsid w:val="00FB13C4"/>
    <w:rsid w:val="00FB5316"/>
    <w:rsid w:val="00FC43A1"/>
    <w:rsid w:val="00FD23D0"/>
    <w:rsid w:val="00FE27FC"/>
    <w:rsid w:val="00FF208A"/>
    <w:rsid w:val="00FF2EC3"/>
    <w:rsid w:val="0BA5E7D3"/>
    <w:rsid w:val="1BC8ACE3"/>
    <w:rsid w:val="2FDC3D64"/>
    <w:rsid w:val="3C9E7777"/>
    <w:rsid w:val="41DC0065"/>
    <w:rsid w:val="47EDC5D7"/>
    <w:rsid w:val="6052BAC6"/>
    <w:rsid w:val="6AA0C5AD"/>
    <w:rsid w:val="7459F6D9"/>
    <w:rsid w:val="7C768D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2186"/>
  <w15:docId w15:val="{84957317-DA79-41E4-8D26-F2E79A89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line="216"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64D"/>
  </w:style>
  <w:style w:type="paragraph" w:styleId="Heading1">
    <w:name w:val="Heading 1"/>
    <w:basedOn w:val="Normal"/>
    <w:next w:val="Normal"/>
    <w:uiPriority w:val="9"/>
    <w:semiHidden/>
    <w:rsid w:val="00FA1E79"/>
    <w:pPr>
      <w:keepNext/>
      <w:keepLines/>
      <w:spacing w:before="180" w:after="240" w:line="280" w:lineRule="atLeast"/>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uiPriority w:val="9"/>
    <w:semiHidden/>
    <w:rsid w:val="00FA1E79"/>
    <w:pPr>
      <w:keepNext/>
      <w:keepLines/>
      <w:numPr>
        <w:ilvl w:val="1"/>
        <w:numId w:val="6"/>
      </w:numPr>
      <w:spacing w:before="300" w:line="220" w:lineRule="atLeast"/>
      <w:outlineLvl w:val="1"/>
    </w:pPr>
    <w:rPr>
      <w:rFonts w:asciiTheme="majorHAnsi" w:eastAsiaTheme="majorEastAsia" w:hAnsiTheme="majorHAnsi" w:cstheme="majorBidi"/>
      <w:b/>
      <w:bCs/>
      <w:sz w:val="22"/>
    </w:rPr>
  </w:style>
  <w:style w:type="paragraph" w:styleId="Heading3">
    <w:name w:val="Heading 3"/>
    <w:basedOn w:val="Normal"/>
    <w:next w:val="Normal"/>
    <w:uiPriority w:val="9"/>
    <w:semiHidden/>
    <w:qFormat/>
    <w:rsid w:val="00FA1E79"/>
    <w:pPr>
      <w:keepNext/>
      <w:keepLines/>
      <w:numPr>
        <w:ilvl w:val="2"/>
        <w:numId w:val="6"/>
      </w:numPr>
      <w:spacing w:before="160" w:after="60" w:line="220" w:lineRule="atLeast"/>
      <w:outlineLvl w:val="2"/>
    </w:pPr>
    <w:rPr>
      <w:rFonts w:asciiTheme="majorHAnsi" w:eastAsiaTheme="majorEastAsia" w:hAnsiTheme="majorHAnsi" w:cstheme="majorBidi"/>
      <w:b/>
      <w:bCs/>
    </w:rPr>
  </w:style>
  <w:style w:type="paragraph" w:styleId="Heading4">
    <w:name w:val="Heading 4"/>
    <w:basedOn w:val="Normal"/>
    <w:next w:val="Normal"/>
    <w:uiPriority w:val="9"/>
    <w:semiHidden/>
    <w:qFormat/>
    <w:rsid w:val="00FA1E79"/>
    <w:pPr>
      <w:keepNext/>
      <w:keepLines/>
      <w:numPr>
        <w:ilvl w:val="3"/>
        <w:numId w:val="6"/>
      </w:numPr>
      <w:spacing w:before="160" w:after="60" w:line="260" w:lineRule="atLeast"/>
      <w:outlineLvl w:val="3"/>
    </w:pPr>
    <w:rPr>
      <w:rFonts w:asciiTheme="majorHAnsi" w:eastAsiaTheme="majorEastAsia" w:hAnsiTheme="majorHAnsi" w:cstheme="majorBidi"/>
      <w:b/>
      <w:bCs/>
      <w:iCs/>
    </w:rPr>
  </w:style>
  <w:style w:type="paragraph" w:styleId="Heading5">
    <w:name w:val="Heading 5"/>
    <w:basedOn w:val="Normal"/>
    <w:next w:val="Normal"/>
    <w:uiPriority w:val="9"/>
    <w:semiHidden/>
    <w:qFormat/>
    <w:rsid w:val="00FA1E79"/>
    <w:pPr>
      <w:keepNext/>
      <w:keepLines/>
      <w:numPr>
        <w:ilvl w:val="4"/>
        <w:numId w:val="6"/>
      </w:numPr>
      <w:spacing w:before="200" w:line="260" w:lineRule="atLeast"/>
      <w:outlineLvl w:val="4"/>
    </w:pPr>
    <w:rPr>
      <w:rFonts w:asciiTheme="majorHAnsi" w:eastAsiaTheme="majorEastAsia" w:hAnsiTheme="majorHAnsi" w:cstheme="majorBidi"/>
      <w:color w:val="405D00" w:themeColor="accent1" w:themeShade="7F"/>
    </w:rPr>
  </w:style>
  <w:style w:type="paragraph" w:styleId="Heading6">
    <w:name w:val="Heading 6"/>
    <w:basedOn w:val="Normal"/>
    <w:next w:val="Normal"/>
    <w:uiPriority w:val="9"/>
    <w:semiHidden/>
    <w:qFormat/>
    <w:rsid w:val="00FA1E79"/>
    <w:pPr>
      <w:keepNext/>
      <w:keepLines/>
      <w:numPr>
        <w:ilvl w:val="5"/>
        <w:numId w:val="6"/>
      </w:numPr>
      <w:spacing w:before="200" w:line="260" w:lineRule="atLeast"/>
      <w:outlineLvl w:val="5"/>
    </w:pPr>
    <w:rPr>
      <w:rFonts w:asciiTheme="majorHAnsi" w:eastAsiaTheme="majorEastAsia" w:hAnsiTheme="majorHAnsi" w:cstheme="majorBidi"/>
      <w:i/>
      <w:iCs/>
      <w:color w:val="405D00" w:themeColor="accent1" w:themeShade="7F"/>
    </w:rPr>
  </w:style>
  <w:style w:type="paragraph" w:styleId="Heading7">
    <w:name w:val="Heading 7"/>
    <w:basedOn w:val="Normal"/>
    <w:next w:val="Normal"/>
    <w:uiPriority w:val="9"/>
    <w:semiHidden/>
    <w:qFormat/>
    <w:rsid w:val="00FA1E79"/>
    <w:pPr>
      <w:keepNext/>
      <w:keepLines/>
      <w:numPr>
        <w:ilvl w:val="6"/>
        <w:numId w:val="6"/>
      </w:numPr>
      <w:spacing w:before="200" w:line="260" w:lineRule="atLeast"/>
      <w:outlineLvl w:val="6"/>
    </w:pPr>
    <w:rPr>
      <w:rFonts w:asciiTheme="majorHAnsi" w:eastAsiaTheme="majorEastAsia" w:hAnsiTheme="majorHAnsi" w:cstheme="majorBidi"/>
      <w:i/>
      <w:iCs/>
      <w:color w:val="695B54" w:themeColor="text1" w:themeTint="BF"/>
    </w:rPr>
  </w:style>
  <w:style w:type="paragraph" w:styleId="Heading8">
    <w:name w:val="Heading 8"/>
    <w:basedOn w:val="Normal"/>
    <w:next w:val="Normal"/>
    <w:uiPriority w:val="9"/>
    <w:semiHidden/>
    <w:qFormat/>
    <w:rsid w:val="00FA1E79"/>
    <w:pPr>
      <w:keepNext/>
      <w:keepLines/>
      <w:numPr>
        <w:ilvl w:val="7"/>
        <w:numId w:val="6"/>
      </w:numPr>
      <w:spacing w:before="200" w:line="260" w:lineRule="atLeast"/>
      <w:outlineLvl w:val="7"/>
    </w:pPr>
    <w:rPr>
      <w:rFonts w:asciiTheme="majorHAnsi" w:eastAsiaTheme="majorEastAsia" w:hAnsiTheme="majorHAnsi" w:cstheme="majorBidi"/>
      <w:color w:val="695B54" w:themeColor="text1" w:themeTint="BF"/>
    </w:rPr>
  </w:style>
  <w:style w:type="paragraph" w:styleId="Heading9">
    <w:name w:val="Heading 9"/>
    <w:basedOn w:val="Normal"/>
    <w:next w:val="Normal"/>
    <w:uiPriority w:val="9"/>
    <w:semiHidden/>
    <w:qFormat/>
    <w:rsid w:val="00FA1E79"/>
    <w:pPr>
      <w:keepNext/>
      <w:keepLines/>
      <w:numPr>
        <w:ilvl w:val="8"/>
        <w:numId w:val="6"/>
      </w:numPr>
      <w:spacing w:before="200" w:line="260" w:lineRule="atLeast"/>
      <w:outlineLvl w:val="8"/>
    </w:pPr>
    <w:rPr>
      <w:rFonts w:asciiTheme="majorHAnsi" w:eastAsiaTheme="majorEastAsia" w:hAnsiTheme="majorHAnsi" w:cstheme="majorBidi"/>
      <w:i/>
      <w:iCs/>
      <w:color w:val="695B54" w:themeColor="text1" w:themeTint="BF"/>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2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FA1E79"/>
    <w:pPr>
      <w:ind w:left="720"/>
      <w:contextualSpacing/>
    </w:pPr>
  </w:style>
  <w:style w:type="paragraph" w:customStyle="1" w:styleId="Textepuce1">
    <w:name w:val="Texte puce 1"/>
    <w:basedOn w:val="ListParagraph"/>
    <w:semiHidden/>
    <w:rsid w:val="00FA1E79"/>
    <w:pPr>
      <w:numPr>
        <w:numId w:val="13"/>
      </w:numPr>
      <w:spacing w:line="260" w:lineRule="atLeast"/>
      <w:ind w:left="142" w:hanging="142"/>
    </w:pPr>
  </w:style>
  <w:style w:type="paragraph" w:styleId="EnvelopeAddress">
    <w:name w:val="Envelope Address"/>
    <w:basedOn w:val="Normal"/>
    <w:uiPriority w:val="99"/>
    <w:rsid w:val="00D4764D"/>
    <w:pPr>
      <w:spacing w:line="216" w:lineRule="exact"/>
    </w:pPr>
  </w:style>
  <w:style w:type="paragraph" w:customStyle="1" w:styleId="Textedesaisie">
    <w:name w:val="Texte de saisie"/>
    <w:basedOn w:val="Normal"/>
    <w:qFormat/>
    <w:rsid w:val="007F1252"/>
    <w:pPr>
      <w:spacing w:line="216" w:lineRule="exact"/>
      <w:jc w:val="both"/>
    </w:pPr>
  </w:style>
  <w:style w:type="character" w:customStyle="1" w:styleId="Textebold">
    <w:name w:val="Texte bold"/>
    <w:basedOn w:val="DefaultParagraphFont"/>
    <w:uiPriority w:val="1"/>
    <w:qFormat/>
    <w:rsid w:val="007F1252"/>
    <w:rPr>
      <w:b/>
      <w:bCs/>
    </w:rPr>
  </w:style>
  <w:style w:type="paragraph" w:customStyle="1" w:styleId="Adresseinternet">
    <w:name w:val="Adresse internet"/>
    <w:basedOn w:val="Normal"/>
    <w:qFormat/>
    <w:rsid w:val="004F1BE1"/>
    <w:pPr>
      <w:spacing w:line="240" w:lineRule="exact"/>
    </w:pPr>
    <w:rPr>
      <w:b/>
      <w:bCs/>
      <w:sz w:val="24"/>
      <w:szCs w:val="24"/>
    </w:rPr>
  </w:style>
  <w:style w:type="table" w:styleId="TableGridLight">
    <w:name w:val="Table Grid Light"/>
    <w:basedOn w:val="TableNormal"/>
    <w:uiPriority w:val="40"/>
    <w:rsid w:val="004F1BE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dressebasdepage">
    <w:name w:val="Adresse bas de page"/>
    <w:basedOn w:val="Normal"/>
    <w:qFormat/>
    <w:rsid w:val="00420D3A"/>
    <w:pPr>
      <w:framePr w:wrap="around" w:vAnchor="page" w:hAnchor="margin" w:xAlign="right" w:yAlign="bottom"/>
      <w:spacing w:line="168" w:lineRule="exact"/>
      <w:jc w:val="right"/>
    </w:pPr>
    <w:rPr>
      <w:rFonts w:ascii="LPO Light DemiCond" w:hAnsi="LPO Light DemiCond"/>
      <w:sz w:val="14"/>
      <w:szCs w:val="14"/>
    </w:rPr>
  </w:style>
  <w:style w:type="character" w:customStyle="1" w:styleId="Texteregulardemicondensed">
    <w:name w:val="Texte regular demi condensed"/>
    <w:basedOn w:val="DefaultParagraphFont"/>
    <w:uiPriority w:val="1"/>
    <w:qFormat/>
    <w:rsid w:val="00420D3A"/>
    <w:rPr>
      <w:rFonts w:ascii="LPO DemiCond" w:hAnsi="LPO DemiCond"/>
    </w:rPr>
  </w:style>
  <w:style w:type="paragraph" w:customStyle="1" w:styleId="Logotype">
    <w:name w:val="Logotype"/>
    <w:basedOn w:val="Normal"/>
    <w:qFormat/>
    <w:rsid w:val="001F2AE3"/>
  </w:style>
  <w:style w:type="character" w:styleId="FootnoteReference">
    <w:name w:val="Footnote Reference"/>
    <w:basedOn w:val="DefaultParagraphFont"/>
    <w:uiPriority w:val="99"/>
    <w:semiHidden/>
    <w:unhideWhenUsed/>
    <w:rsid w:val="00654783"/>
    <w:rPr>
      <w:vertAlign w:val="superscript"/>
    </w:rPr>
  </w:style>
  <w:style w:type="paragraph" w:customStyle="1" w:styleId="EndNoteBibliographyTitle">
    <w:name w:val="EndNote Bibliography Title"/>
    <w:basedOn w:val="Normal"/>
    <w:link w:val="EndNoteBibliographyTitleCar"/>
    <w:rsid w:val="000E3E5F"/>
    <w:pPr>
      <w:jc w:val="center"/>
    </w:pPr>
    <w:rPr>
      <w:rFonts w:ascii="LPO" w:hAnsi="LPO"/>
      <w:noProof/>
      <w:lang w:val="en-US"/>
    </w:rPr>
  </w:style>
  <w:style w:type="character" w:customStyle="1" w:styleId="EndNoteBibliographyTitleCar">
    <w:name w:val="EndNote Bibliography Title Car"/>
    <w:basedOn w:val="DefaultParagraphFont"/>
    <w:link w:val="EndNoteBibliographyTitle"/>
    <w:rsid w:val="000E3E5F"/>
    <w:rPr>
      <w:rFonts w:ascii="LPO" w:hAnsi="LPO"/>
      <w:noProof/>
      <w:lang w:val="en-US"/>
    </w:rPr>
  </w:style>
  <w:style w:type="paragraph" w:customStyle="1" w:styleId="EndNoteBibliography">
    <w:name w:val="EndNote Bibliography"/>
    <w:basedOn w:val="Normal"/>
    <w:link w:val="EndNoteBibliographyCar"/>
    <w:rsid w:val="000E3E5F"/>
    <w:pPr>
      <w:spacing w:line="240" w:lineRule="atLeast"/>
      <w:jc w:val="both"/>
    </w:pPr>
    <w:rPr>
      <w:rFonts w:ascii="LPO" w:hAnsi="LPO"/>
      <w:noProof/>
      <w:lang w:val="en-US"/>
    </w:rPr>
  </w:style>
  <w:style w:type="character" w:customStyle="1" w:styleId="EndNoteBibliographyCar">
    <w:name w:val="EndNote Bibliography Car"/>
    <w:basedOn w:val="DefaultParagraphFont"/>
    <w:link w:val="EndNoteBibliography"/>
    <w:rsid w:val="000E3E5F"/>
    <w:rPr>
      <w:rFonts w:ascii="LPO" w:hAnsi="LPO"/>
      <w:noProof/>
      <w:lang w:val="en-US"/>
    </w:rPr>
  </w:style>
  <w:style w:type="character" w:styleId="Hyperlink">
    <w:name w:val="Hyperlink"/>
    <w:basedOn w:val="DefaultParagraphFont"/>
    <w:uiPriority w:val="99"/>
    <w:unhideWhenUsed/>
    <w:rsid w:val="000E3E5F"/>
    <w:rPr>
      <w:color w:val="2E2825" w:themeColor="hyperlink"/>
      <w:u w:val="single"/>
    </w:rPr>
  </w:style>
  <w:style w:type="character" w:styleId="UnresolvedMention">
    <w:name w:val="Unresolved Mention"/>
    <w:basedOn w:val="DefaultParagraphFont"/>
    <w:uiPriority w:val="99"/>
    <w:semiHidden/>
    <w:unhideWhenUsed/>
    <w:rsid w:val="000E3E5F"/>
    <w:rPr>
      <w:color w:val="605E5C"/>
      <w:shd w:val="clear" w:color="auto" w:fill="E1DFDD"/>
    </w:rPr>
  </w:style>
  <w:style w:type="character" w:customStyle="1" w:styleId="y2iqfc">
    <w:name w:val="y2iqfc"/>
    <w:basedOn w:val="DefaultParagraphFont"/>
    <w:rsid w:val="007A2CEE"/>
  </w:style>
  <w:style w:type="paragraph" w:styleId="Caption">
    <w:name w:val="Caption"/>
    <w:basedOn w:val="Normal"/>
    <w:next w:val="Normal"/>
    <w:uiPriority w:val="35"/>
    <w:unhideWhenUsed/>
    <w:qFormat/>
    <w:rsid w:val="008C284B"/>
    <w:pPr>
      <w:spacing w:after="200" w:line="240" w:lineRule="auto"/>
    </w:pPr>
    <w:rPr>
      <w:rFonts w:ascii="Arial" w:hAnsi="Arial"/>
      <w:b/>
      <w:bCs/>
      <w:color w:val="82BC00" w:themeColor="accent1"/>
    </w:rPr>
  </w:style>
  <w:style w:type="character" w:styleId="FollowedHyperlink">
    <w:name w:val="FollowedHyperlink"/>
    <w:basedOn w:val="DefaultParagraphFont"/>
    <w:uiPriority w:val="99"/>
    <w:semiHidden/>
    <w:unhideWhenUsed/>
    <w:rsid w:val="007958C9"/>
    <w:rPr>
      <w:color w:val="BEBAB9" w:themeColor="followedHyperlink"/>
      <w:u w:val="single"/>
    </w:rPr>
  </w:style>
  <w:style w:type="paragraph" w:styleId="Revision">
    <w:name w:val="Revision"/>
    <w:hidden/>
    <w:uiPriority w:val="99"/>
    <w:semiHidden/>
    <w:rsid w:val="001C40BB"/>
    <w:pPr>
      <w:spacing w:line="240" w:lineRule="auto"/>
    </w:pPr>
  </w:style>
  <w:style w:type="character" w:customStyle="1" w:styleId="En-tteCar">
    <w:name w:val="En-tête Car"/>
    <w:basedOn w:val="DefaultParagraphFont"/>
    <w:uiPriority w:val="99"/>
    <w:rsid w:val="00746CD8"/>
    <w:rPr>
      <w:sz w:val="20"/>
    </w:rPr>
  </w:style>
  <w:style w:type="character" w:customStyle="1" w:styleId="PieddepageCar">
    <w:name w:val="Pied de page Car"/>
    <w:basedOn w:val="DefaultParagraphFont"/>
    <w:uiPriority w:val="99"/>
    <w:rsid w:val="00746CD8"/>
    <w:rPr>
      <w:sz w:val="20"/>
    </w:rPr>
  </w:style>
  <w:style w:type="character" w:customStyle="1" w:styleId="TextedebullesCar">
    <w:name w:val="Texte de bulles Car"/>
    <w:basedOn w:val="DefaultParagraphFont"/>
    <w:uiPriority w:val="99"/>
    <w:semiHidden/>
    <w:rsid w:val="00746CD8"/>
    <w:rPr>
      <w:rFonts w:ascii="Tahoma" w:hAnsi="Tahoma" w:cs="Tahoma"/>
      <w:sz w:val="16"/>
      <w:szCs w:val="16"/>
    </w:rPr>
  </w:style>
  <w:style w:type="character" w:customStyle="1" w:styleId="Titre1Car">
    <w:name w:val="Titre 1 Car"/>
    <w:basedOn w:val="DefaultParagraphFont"/>
    <w:uiPriority w:val="9"/>
    <w:semiHidden/>
    <w:rsid w:val="00746CD8"/>
    <w:rPr>
      <w:rFonts w:asciiTheme="majorHAnsi" w:eastAsiaTheme="majorEastAsia" w:hAnsiTheme="majorHAnsi" w:cstheme="majorBidi"/>
      <w:b/>
      <w:bCs/>
      <w:sz w:val="28"/>
      <w:szCs w:val="28"/>
      <w:u w:val="single"/>
    </w:rPr>
  </w:style>
  <w:style w:type="character" w:customStyle="1" w:styleId="Titre2Car">
    <w:name w:val="Titre 2 Car"/>
    <w:basedOn w:val="DefaultParagraphFont"/>
    <w:uiPriority w:val="9"/>
    <w:semiHidden/>
    <w:rsid w:val="00746CD8"/>
    <w:rPr>
      <w:rFonts w:asciiTheme="majorHAnsi" w:eastAsiaTheme="majorEastAsia" w:hAnsiTheme="majorHAnsi" w:cstheme="majorBidi"/>
      <w:b/>
      <w:bCs/>
    </w:rPr>
  </w:style>
  <w:style w:type="character" w:customStyle="1" w:styleId="Titre3Car">
    <w:name w:val="Titre 3 Car"/>
    <w:basedOn w:val="DefaultParagraphFont"/>
    <w:uiPriority w:val="9"/>
    <w:semiHidden/>
    <w:rsid w:val="00746CD8"/>
    <w:rPr>
      <w:rFonts w:asciiTheme="majorHAnsi" w:eastAsiaTheme="majorEastAsia" w:hAnsiTheme="majorHAnsi" w:cstheme="majorBidi"/>
      <w:b/>
      <w:bCs/>
      <w:sz w:val="18"/>
      <w:szCs w:val="18"/>
    </w:rPr>
  </w:style>
  <w:style w:type="character" w:customStyle="1" w:styleId="Titre4Car">
    <w:name w:val="Titre 4 Car"/>
    <w:basedOn w:val="DefaultParagraphFont"/>
    <w:uiPriority w:val="9"/>
    <w:semiHidden/>
    <w:rsid w:val="00746CD8"/>
    <w:rPr>
      <w:rFonts w:asciiTheme="majorHAnsi" w:eastAsiaTheme="majorEastAsia" w:hAnsiTheme="majorHAnsi" w:cstheme="majorBidi"/>
      <w:b/>
      <w:bCs/>
      <w:iCs/>
      <w:sz w:val="18"/>
      <w:szCs w:val="18"/>
    </w:rPr>
  </w:style>
  <w:style w:type="character" w:customStyle="1" w:styleId="Titre5Car">
    <w:name w:val="Titre 5 Car"/>
    <w:basedOn w:val="DefaultParagraphFont"/>
    <w:uiPriority w:val="9"/>
    <w:semiHidden/>
    <w:rsid w:val="00746CD8"/>
    <w:rPr>
      <w:rFonts w:asciiTheme="majorHAnsi" w:eastAsiaTheme="majorEastAsia" w:hAnsiTheme="majorHAnsi" w:cstheme="majorBidi"/>
      <w:color w:val="405D00" w:themeColor="accent1" w:themeShade="7F"/>
      <w:sz w:val="18"/>
      <w:szCs w:val="18"/>
    </w:rPr>
  </w:style>
  <w:style w:type="character" w:customStyle="1" w:styleId="Titre6Car">
    <w:name w:val="Titre 6 Car"/>
    <w:basedOn w:val="DefaultParagraphFont"/>
    <w:uiPriority w:val="9"/>
    <w:semiHidden/>
    <w:rsid w:val="00746CD8"/>
    <w:rPr>
      <w:rFonts w:asciiTheme="majorHAnsi" w:eastAsiaTheme="majorEastAsia" w:hAnsiTheme="majorHAnsi" w:cstheme="majorBidi"/>
      <w:i/>
      <w:iCs/>
      <w:color w:val="405D00" w:themeColor="accent1" w:themeShade="7F"/>
      <w:sz w:val="18"/>
      <w:szCs w:val="18"/>
    </w:rPr>
  </w:style>
  <w:style w:type="character" w:customStyle="1" w:styleId="Titre7Car">
    <w:name w:val="Titre 7 Car"/>
    <w:basedOn w:val="DefaultParagraphFont"/>
    <w:uiPriority w:val="9"/>
    <w:semiHidden/>
    <w:rsid w:val="00746CD8"/>
    <w:rPr>
      <w:rFonts w:asciiTheme="majorHAnsi" w:eastAsiaTheme="majorEastAsia" w:hAnsiTheme="majorHAnsi" w:cstheme="majorBidi"/>
      <w:i/>
      <w:iCs/>
      <w:color w:val="695B54" w:themeColor="text1" w:themeTint="BF"/>
      <w:sz w:val="18"/>
      <w:szCs w:val="18"/>
    </w:rPr>
  </w:style>
  <w:style w:type="character" w:customStyle="1" w:styleId="Titre8Car">
    <w:name w:val="Titre 8 Car"/>
    <w:basedOn w:val="DefaultParagraphFont"/>
    <w:uiPriority w:val="9"/>
    <w:semiHidden/>
    <w:rsid w:val="00746CD8"/>
    <w:rPr>
      <w:rFonts w:asciiTheme="majorHAnsi" w:eastAsiaTheme="majorEastAsia" w:hAnsiTheme="majorHAnsi" w:cstheme="majorBidi"/>
      <w:color w:val="695B54" w:themeColor="text1" w:themeTint="BF"/>
      <w:sz w:val="20"/>
      <w:szCs w:val="20"/>
    </w:rPr>
  </w:style>
  <w:style w:type="character" w:customStyle="1" w:styleId="Titre9Car">
    <w:name w:val="Titre 9 Car"/>
    <w:basedOn w:val="DefaultParagraphFont"/>
    <w:uiPriority w:val="9"/>
    <w:semiHidden/>
    <w:rsid w:val="00746CD8"/>
    <w:rPr>
      <w:rFonts w:asciiTheme="majorHAnsi" w:eastAsiaTheme="majorEastAsia" w:hAnsiTheme="majorHAnsi" w:cstheme="majorBidi"/>
      <w:i/>
      <w:iCs/>
      <w:color w:val="695B54" w:themeColor="text1" w:themeTint="BF"/>
      <w:sz w:val="20"/>
      <w:szCs w:val="20"/>
    </w:rPr>
  </w:style>
  <w:style w:type="character" w:customStyle="1" w:styleId="NotedebasdepageCar">
    <w:name w:val="Note de bas de page Car"/>
    <w:basedOn w:val="DefaultParagraphFont"/>
    <w:uiPriority w:val="99"/>
    <w:semiHidden/>
    <w:rsid w:val="00746CD8"/>
    <w:rPr>
      <w:sz w:val="20"/>
      <w:szCs w:val="20"/>
    </w:rPr>
  </w:style>
  <w:style w:type="character" w:customStyle="1" w:styleId="PrformatHTMLCar">
    <w:name w:val="Préformaté HTML Car"/>
    <w:basedOn w:val="DefaultParagraphFont"/>
    <w:uiPriority w:val="99"/>
    <w:semiHidden/>
    <w:rsid w:val="00746CD8"/>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nsultations-publiques.developpement-durable.gouv.fr/projet-d-arrete-encadrant-la-chasse-du-fuligule-a3403.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FLEURY MICHON">
      <a:dk1>
        <a:srgbClr val="2E2825"/>
      </a:dk1>
      <a:lt1>
        <a:sysClr val="window" lastClr="FFFFFF"/>
      </a:lt1>
      <a:dk2>
        <a:srgbClr val="00833E"/>
      </a:dk2>
      <a:lt2>
        <a:srgbClr val="BEBAB9"/>
      </a:lt2>
      <a:accent1>
        <a:srgbClr val="82BC00"/>
      </a:accent1>
      <a:accent2>
        <a:srgbClr val="F0A05A"/>
      </a:accent2>
      <a:accent3>
        <a:srgbClr val="0081C9"/>
      </a:accent3>
      <a:accent4>
        <a:srgbClr val="E53D76"/>
      </a:accent4>
      <a:accent5>
        <a:srgbClr val="E2231A"/>
      </a:accent5>
      <a:accent6>
        <a:srgbClr val="E55216"/>
      </a:accent6>
      <a:hlink>
        <a:srgbClr val="2E2825"/>
      </a:hlink>
      <a:folHlink>
        <a:srgbClr val="BEBAB9"/>
      </a:folHlink>
    </a:clrScheme>
    <a:fontScheme name="LPO">
      <a:majorFont>
        <a:latin typeface="LPO"/>
        <a:ea typeface=""/>
        <a:cs typeface=""/>
      </a:majorFont>
      <a:minorFont>
        <a:latin typeface="LP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708</Words>
  <Characters>3897</Characters>
  <Application>Microsoft Office Word</Application>
  <DocSecurity>0</DocSecurity>
  <Lines>32</Lines>
  <Paragraphs>9</Paragraphs>
  <ScaleCrop>false</ScaleCrop>
  <Manager>LPO</Manager>
  <Company>LPO</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LPO</dc:title>
  <dc:subject>LPO</dc:subject>
  <dc:creator>Emilie Gobert</dc:creator>
  <cp:keywords/>
  <cp:lastModifiedBy>Yves Verilhac</cp:lastModifiedBy>
  <cp:revision>2</cp:revision>
  <dcterms:created xsi:type="dcterms:W3CDTF">2026-08-04T09:49:00Z</dcterms:created>
  <dcterms:modified xsi:type="dcterms:W3CDTF">2026-08-04T09:49:00Z</dcterms:modified>
</cp:coreProperties>
</file>